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3F6D22" w:rsidRPr="00D06044" w14:paraId="5A5BC3B0" w14:textId="77777777" w:rsidTr="00430CC4">
        <w:trPr>
          <w:trHeight w:val="1418"/>
        </w:trPr>
        <w:tc>
          <w:tcPr>
            <w:tcW w:w="2376" w:type="dxa"/>
          </w:tcPr>
          <w:p w14:paraId="3C129EB5" w14:textId="77777777" w:rsidR="003F6D22" w:rsidRDefault="003F6D22" w:rsidP="00430CC4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uk-UA" w:eastAsia="uk-UA"/>
              </w:rPr>
              <w:drawing>
                <wp:inline distT="0" distB="0" distL="0" distR="0" wp14:anchorId="7545FC6F" wp14:editId="18F236FF">
                  <wp:extent cx="1371600" cy="948906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11" cy="95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</w:tcPr>
          <w:p w14:paraId="315F5D6C" w14:textId="77777777" w:rsidR="003F6D22" w:rsidRPr="00D06044" w:rsidRDefault="003F6D22" w:rsidP="00430CC4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        ДВНЗ «УНІВЕРСИТЕТ БАНКІВСЬКОЇ СПРАВИ»</w:t>
            </w:r>
          </w:p>
          <w:p w14:paraId="328FBFA4" w14:textId="77777777" w:rsidR="003F6D22" w:rsidRPr="00D06044" w:rsidRDefault="003F6D22" w:rsidP="00430CC4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    ХАРКІВСЬКИЙ НАВЧАЛЬНО-НАУКОВИЙ ІНСТИТУТ</w:t>
            </w:r>
          </w:p>
          <w:p w14:paraId="4FB7D463" w14:textId="77777777" w:rsidR="003F6D22" w:rsidRPr="00D06044" w:rsidRDefault="003F6D22" w:rsidP="00430CC4">
            <w:pPr>
              <w:spacing w:line="360" w:lineRule="auto"/>
              <w:rPr>
                <w:b/>
              </w:rPr>
            </w:pPr>
            <w:r w:rsidRPr="00D06044"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14:paraId="0D6F1C18" w14:textId="77777777" w:rsidR="003F6D22" w:rsidRDefault="003F6D22" w:rsidP="003F6D22">
      <w:pPr>
        <w:spacing w:after="0" w:line="240" w:lineRule="auto"/>
        <w:jc w:val="center"/>
        <w:rPr>
          <w:b/>
          <w:sz w:val="8"/>
          <w:szCs w:val="8"/>
          <w:lang w:val="uk-UA"/>
        </w:rPr>
      </w:pPr>
    </w:p>
    <w:p w14:paraId="7A95806F" w14:textId="77777777" w:rsidR="003F6D22" w:rsidRDefault="003F6D22" w:rsidP="003F6D22">
      <w:pPr>
        <w:spacing w:after="0" w:line="240" w:lineRule="auto"/>
        <w:jc w:val="center"/>
        <w:rPr>
          <w:b/>
          <w:sz w:val="8"/>
          <w:szCs w:val="8"/>
          <w:lang w:val="uk-UA"/>
        </w:rPr>
      </w:pPr>
    </w:p>
    <w:p w14:paraId="546D199C" w14:textId="77777777" w:rsidR="003F6D22" w:rsidRPr="002342D8" w:rsidRDefault="003F6D22" w:rsidP="003F6D22">
      <w:pPr>
        <w:spacing w:after="0" w:line="240" w:lineRule="auto"/>
        <w:jc w:val="center"/>
        <w:rPr>
          <w:b/>
          <w:sz w:val="8"/>
          <w:szCs w:val="8"/>
          <w:lang w:val="uk-UA"/>
        </w:rPr>
      </w:pPr>
    </w:p>
    <w:p w14:paraId="787C561A" w14:textId="77777777" w:rsidR="003F6D22" w:rsidRPr="008C55BF" w:rsidRDefault="003F6D22" w:rsidP="003F6D22">
      <w:pPr>
        <w:spacing w:after="0" w:line="240" w:lineRule="auto"/>
        <w:jc w:val="center"/>
        <w:rPr>
          <w:b/>
          <w:lang w:val="uk-UA"/>
        </w:rPr>
      </w:pPr>
      <w:r w:rsidRPr="008C55BF">
        <w:rPr>
          <w:b/>
          <w:lang w:val="uk-UA"/>
        </w:rPr>
        <w:t>ОПИС ДИСЦИПЛІНИ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3F6D22" w:rsidRPr="008C55BF" w14:paraId="1DF372BF" w14:textId="77777777" w:rsidTr="00430CC4">
        <w:tc>
          <w:tcPr>
            <w:tcW w:w="2943" w:type="dxa"/>
          </w:tcPr>
          <w:p w14:paraId="55001AE1" w14:textId="77777777" w:rsidR="003F6D22" w:rsidRPr="008C55BF" w:rsidRDefault="003F6D22" w:rsidP="00430CC4">
            <w:pPr>
              <w:rPr>
                <w:b/>
                <w:lang w:val="uk-UA"/>
              </w:rPr>
            </w:pPr>
            <w:r w:rsidRPr="008C55BF"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</w:tcPr>
          <w:p w14:paraId="00141843" w14:textId="18365AAA" w:rsidR="003F6D22" w:rsidRPr="00A94621" w:rsidRDefault="009257F4" w:rsidP="00430CC4">
            <w:pPr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Правове регулювання та безпека банків</w:t>
            </w:r>
          </w:p>
        </w:tc>
      </w:tr>
      <w:tr w:rsidR="003F6D22" w:rsidRPr="002342D8" w14:paraId="020F20D6" w14:textId="77777777" w:rsidTr="00430CC4">
        <w:tc>
          <w:tcPr>
            <w:tcW w:w="2943" w:type="dxa"/>
          </w:tcPr>
          <w:p w14:paraId="1F85C9E7" w14:textId="77777777" w:rsidR="003F6D22" w:rsidRPr="002342D8" w:rsidRDefault="003F6D22" w:rsidP="00430CC4">
            <w:pPr>
              <w:rPr>
                <w:b/>
                <w:lang w:val="uk-UA"/>
              </w:rPr>
            </w:pPr>
            <w:r w:rsidRPr="002342D8"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14:paraId="6A9F7317" w14:textId="77777777" w:rsidR="003F6D22" w:rsidRPr="002342D8" w:rsidRDefault="003F6D22" w:rsidP="003F6D22">
            <w:pPr>
              <w:rPr>
                <w:b/>
                <w:lang w:val="uk-UA"/>
              </w:rPr>
            </w:pPr>
            <w:r w:rsidRPr="002342D8">
              <w:rPr>
                <w:b/>
                <w:lang w:val="uk-UA"/>
              </w:rPr>
              <w:t xml:space="preserve">ступінь </w:t>
            </w:r>
            <w:r>
              <w:rPr>
                <w:b/>
                <w:lang w:val="uk-UA"/>
              </w:rPr>
              <w:t>перший (бакалаврський)</w:t>
            </w:r>
          </w:p>
        </w:tc>
      </w:tr>
      <w:tr w:rsidR="003F6D22" w:rsidRPr="008C55BF" w14:paraId="29EEC77C" w14:textId="77777777" w:rsidTr="00430CC4">
        <w:tc>
          <w:tcPr>
            <w:tcW w:w="2943" w:type="dxa"/>
          </w:tcPr>
          <w:p w14:paraId="196B5F4D" w14:textId="77777777" w:rsidR="003F6D22" w:rsidRPr="00B77E44" w:rsidRDefault="003F6D22" w:rsidP="00430CC4">
            <w:pPr>
              <w:rPr>
                <w:b/>
                <w:lang w:val="uk-UA"/>
              </w:rPr>
            </w:pPr>
            <w:r w:rsidRPr="00B77E44"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14:paraId="4733D13C" w14:textId="4F971CE9" w:rsidR="003F6D22" w:rsidRPr="00B77E44" w:rsidRDefault="00C818EE" w:rsidP="00430CC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6.030508 «Фінанси і кредит»</w:t>
            </w:r>
          </w:p>
        </w:tc>
      </w:tr>
      <w:tr w:rsidR="003F6D22" w:rsidRPr="008C55BF" w14:paraId="6523527D" w14:textId="77777777" w:rsidTr="00430CC4">
        <w:tc>
          <w:tcPr>
            <w:tcW w:w="2943" w:type="dxa"/>
          </w:tcPr>
          <w:p w14:paraId="4867ADF9" w14:textId="77777777" w:rsidR="003F6D22" w:rsidRPr="00B77E44" w:rsidRDefault="003F6D22" w:rsidP="00430CC4">
            <w:pPr>
              <w:rPr>
                <w:b/>
                <w:lang w:val="uk-UA"/>
              </w:rPr>
            </w:pPr>
            <w:r w:rsidRPr="00B77E44"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14:paraId="4C89FFB3" w14:textId="2006828C" w:rsidR="003F6D22" w:rsidRPr="009A5BF4" w:rsidRDefault="009A5BF4" w:rsidP="00430CC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</w:tbl>
    <w:p w14:paraId="172064CC" w14:textId="77777777" w:rsidR="003F6D22" w:rsidRPr="002342D8" w:rsidRDefault="003F6D22" w:rsidP="003F6D22">
      <w:pPr>
        <w:spacing w:after="0" w:line="240" w:lineRule="auto"/>
        <w:rPr>
          <w:sz w:val="8"/>
          <w:szCs w:val="8"/>
          <w:lang w:val="uk-UA"/>
        </w:rPr>
      </w:pPr>
    </w:p>
    <w:p w14:paraId="50C7A25A" w14:textId="77777777" w:rsidR="003F6D22" w:rsidRDefault="003F6D22" w:rsidP="003F6D22">
      <w:pPr>
        <w:spacing w:after="0"/>
        <w:jc w:val="both"/>
        <w:rPr>
          <w:b/>
          <w:lang w:val="uk-UA"/>
        </w:rPr>
      </w:pPr>
    </w:p>
    <w:p w14:paraId="0A0846DC" w14:textId="3F96B8B7" w:rsidR="003F6D22" w:rsidRDefault="003F6D22" w:rsidP="003F6D22">
      <w:pPr>
        <w:spacing w:after="0"/>
        <w:jc w:val="both"/>
        <w:rPr>
          <w:b/>
          <w:lang w:val="uk-UA"/>
        </w:rPr>
      </w:pPr>
      <w:r w:rsidRPr="002342D8">
        <w:rPr>
          <w:b/>
          <w:lang w:val="uk-UA"/>
        </w:rPr>
        <w:t>1. Мета дисципліни в контексті підготовки фахівців певної спеціальності:</w:t>
      </w:r>
      <w:r>
        <w:rPr>
          <w:b/>
          <w:lang w:val="uk-UA"/>
        </w:rPr>
        <w:t xml:space="preserve"> </w:t>
      </w:r>
      <w:r w:rsidR="009257F4" w:rsidRPr="009257F4">
        <w:rPr>
          <w:lang w:val="uk-UA"/>
        </w:rPr>
        <w:t xml:space="preserve">на базі узагальнення та систематизації отриманих в процесі навчання знань, вмінь та навичок ознайомити студентів з змістом основних правових інститутів, що регулюють банківські правовідносини. Дати студентам необхідні теоретичні знань та практичні навички самостійної роботи з нормативними актами щодо правового регулювання функціонування банківської системи України та сутності механізму правового регулювання банківської діяльності. </w:t>
      </w:r>
      <w:r w:rsidR="009257F4">
        <w:rPr>
          <w:lang w:val="uk-UA"/>
        </w:rPr>
        <w:t>Крім того,</w:t>
      </w:r>
      <w:r w:rsidR="009257F4" w:rsidRPr="009257F4">
        <w:rPr>
          <w:lang w:val="uk-UA"/>
        </w:rPr>
        <w:t xml:space="preserve"> надання знань щодо теоретичних основ побудови безпеки діяльності банків, сутності механізму функціонування установ банків, умінні будувати партнерські стосунки з клієнтами та основ захисту прав і законних інтересів суб’єктів господарських правовідносин в умовах комерціалізації банківської справи. Сформувати пізнавальні здібності студентів, допомогти засвоїти прийоми розумової діяльності, навчити самостійно мислити та набувати нові знання.</w:t>
      </w:r>
    </w:p>
    <w:p w14:paraId="163650A9" w14:textId="1E5D3E70" w:rsidR="00402D82" w:rsidRPr="00402D82" w:rsidRDefault="003F6D22" w:rsidP="00402D82">
      <w:pPr>
        <w:spacing w:after="0"/>
        <w:jc w:val="both"/>
        <w:rPr>
          <w:lang w:val="uk-UA"/>
        </w:rPr>
      </w:pPr>
      <w:r w:rsidRPr="00D40502">
        <w:rPr>
          <w:b/>
          <w:lang w:val="uk-UA"/>
        </w:rPr>
        <w:t>2. Заплановані результати навчання</w:t>
      </w:r>
      <w:r w:rsidRPr="003651AB">
        <w:rPr>
          <w:b/>
          <w:lang w:val="uk-UA"/>
        </w:rPr>
        <w:t xml:space="preserve">: </w:t>
      </w:r>
      <w:r w:rsidRPr="003651AB">
        <w:rPr>
          <w:lang w:val="uk-UA"/>
        </w:rPr>
        <w:t xml:space="preserve">У результаті вивчення навчальної дисципліни студент повинен знати: </w:t>
      </w:r>
      <w:r w:rsidR="00402D82" w:rsidRPr="00402D82">
        <w:rPr>
          <w:lang w:val="uk-UA"/>
        </w:rPr>
        <w:t>мету і завдання  банківського права;історію виникнення банківського права;види банківської діяльності та форми її організа</w:t>
      </w:r>
      <w:r w:rsidR="00402D82" w:rsidRPr="00402D82">
        <w:rPr>
          <w:lang w:val="uk-UA"/>
        </w:rPr>
        <w:softHyphen/>
        <w:t>ції; основні системоутворюючі законодавчі акти щодо регла</w:t>
      </w:r>
      <w:r w:rsidR="00402D82" w:rsidRPr="00402D82">
        <w:rPr>
          <w:lang w:val="uk-UA"/>
        </w:rPr>
        <w:softHyphen/>
        <w:t>ментування банківської діяльності в Україні; правове забезпечення інформаційної безпеки банку; досвід банків щодо створення власної нормативної бази з питань  їх діяльності; концепції діяльності банку, її призначення та основні поло</w:t>
      </w:r>
      <w:r w:rsidR="00402D82" w:rsidRPr="00402D82">
        <w:rPr>
          <w:lang w:val="uk-UA"/>
        </w:rPr>
        <w:softHyphen/>
        <w:t>ження; банківську і комерційну таємниці, організація їх захисту в банках;</w:t>
      </w:r>
    </w:p>
    <w:p w14:paraId="3CC12841" w14:textId="55B09965" w:rsidR="00402D82" w:rsidRPr="00402D82" w:rsidRDefault="00402D82" w:rsidP="00402D82">
      <w:pPr>
        <w:spacing w:after="0"/>
        <w:jc w:val="both"/>
        <w:rPr>
          <w:lang w:val="uk-UA"/>
        </w:rPr>
      </w:pPr>
      <w:r w:rsidRPr="00402D82">
        <w:rPr>
          <w:lang w:val="uk-UA"/>
        </w:rPr>
        <w:t>договірні відносини які виникають при здійснені кредитних операцій, розрахункових операціях</w:t>
      </w:r>
      <w:r>
        <w:rPr>
          <w:lang w:val="uk-UA"/>
        </w:rPr>
        <w:t>,  операцій з іноземною валютою</w:t>
      </w:r>
      <w:r w:rsidRPr="00402D82">
        <w:rPr>
          <w:lang w:val="uk-UA"/>
        </w:rPr>
        <w:t xml:space="preserve">; мету і завдання </w:t>
      </w:r>
      <w:r>
        <w:rPr>
          <w:lang w:val="uk-UA"/>
        </w:rPr>
        <w:t>безпеки банківської діяльності;</w:t>
      </w:r>
      <w:r w:rsidRPr="00402D82">
        <w:rPr>
          <w:lang w:val="uk-UA"/>
        </w:rPr>
        <w:t xml:space="preserve"> види безпеки банківської діяльності та форми її організа</w:t>
      </w:r>
      <w:r w:rsidRPr="00402D82">
        <w:rPr>
          <w:lang w:val="uk-UA"/>
        </w:rPr>
        <w:softHyphen/>
        <w:t>ції; основні системоутворюючі законодавчі акти щодо регулювання безпеки б</w:t>
      </w:r>
      <w:r>
        <w:rPr>
          <w:lang w:val="uk-UA"/>
        </w:rPr>
        <w:t>анківської діяльності в Україні</w:t>
      </w:r>
      <w:r w:rsidRPr="00402D82">
        <w:rPr>
          <w:lang w:val="uk-UA"/>
        </w:rPr>
        <w:t>; правове забезпечення інформаційної безпеки банку; правові основи охоронної діяльності в Україні; концепції безпеки банку, її призначення та основні поло</w:t>
      </w:r>
      <w:r w:rsidRPr="00402D82">
        <w:rPr>
          <w:lang w:val="uk-UA"/>
        </w:rPr>
        <w:softHyphen/>
        <w:t>ження; суть та ознаки недобросовісної конкуренції та її правову оцінка у віт</w:t>
      </w:r>
      <w:r>
        <w:rPr>
          <w:lang w:val="uk-UA"/>
        </w:rPr>
        <w:t>чизняному та міжнародному праві</w:t>
      </w:r>
      <w:r w:rsidRPr="00402D82">
        <w:rPr>
          <w:lang w:val="uk-UA"/>
        </w:rPr>
        <w:t>; правове забезпечення банківської і комерційної таємниці, конфіденційної інформації та організацію</w:t>
      </w:r>
      <w:r>
        <w:rPr>
          <w:lang w:val="uk-UA"/>
        </w:rPr>
        <w:t xml:space="preserve"> їх захисту в банках</w:t>
      </w:r>
      <w:r w:rsidRPr="00402D82">
        <w:rPr>
          <w:lang w:val="uk-UA"/>
        </w:rPr>
        <w:t xml:space="preserve">; доступ у банку до інформації з </w:t>
      </w:r>
      <w:r>
        <w:rPr>
          <w:lang w:val="uk-UA"/>
        </w:rPr>
        <w:t>обмеженим доступом</w:t>
      </w:r>
      <w:r w:rsidRPr="00402D82">
        <w:rPr>
          <w:lang w:val="uk-UA"/>
        </w:rPr>
        <w:t>; причини злочинності в банках, банківське шахрайство, його суть та кваліфікація з точ</w:t>
      </w:r>
      <w:r w:rsidRPr="00402D82">
        <w:rPr>
          <w:lang w:val="uk-UA"/>
        </w:rPr>
        <w:softHyphen/>
        <w:t xml:space="preserve">ки зору кримінального права, заходи протидії; </w:t>
      </w:r>
      <w:r>
        <w:rPr>
          <w:lang w:val="en-US"/>
        </w:rPr>
        <w:t>n</w:t>
      </w:r>
      <w:r w:rsidRPr="00402D82">
        <w:rPr>
          <w:lang w:val="uk-UA"/>
        </w:rPr>
        <w:t>профілактику злочинів у банках та запобігання їм.</w:t>
      </w:r>
    </w:p>
    <w:p w14:paraId="4B9FE0ED" w14:textId="7B5FB786" w:rsidR="003F6D22" w:rsidRPr="00D40502" w:rsidRDefault="003F6D22" w:rsidP="003F6D22">
      <w:pPr>
        <w:spacing w:after="0"/>
        <w:jc w:val="both"/>
        <w:rPr>
          <w:b/>
          <w:lang w:val="uk-UA"/>
        </w:rPr>
      </w:pPr>
      <w:r w:rsidRPr="00D40502">
        <w:rPr>
          <w:b/>
          <w:lang w:val="uk-UA"/>
        </w:rPr>
        <w:t>3. Форми і методи контролю:</w:t>
      </w:r>
    </w:p>
    <w:p w14:paraId="4F84BA0A" w14:textId="77777777" w:rsidR="003F6D22" w:rsidRPr="001D0936" w:rsidRDefault="003F6D22" w:rsidP="003F6D22">
      <w:pPr>
        <w:pStyle w:val="a4"/>
        <w:numPr>
          <w:ilvl w:val="0"/>
          <w:numId w:val="1"/>
        </w:numPr>
        <w:spacing w:after="0"/>
        <w:jc w:val="both"/>
      </w:pPr>
      <w:r w:rsidRPr="001D0936">
        <w:t xml:space="preserve"> Усне та письмове опитування.</w:t>
      </w:r>
    </w:p>
    <w:p w14:paraId="31E1F896" w14:textId="77777777" w:rsidR="003F6D22" w:rsidRPr="001D0936" w:rsidRDefault="003F6D22" w:rsidP="003F6D22">
      <w:pPr>
        <w:pStyle w:val="a4"/>
        <w:numPr>
          <w:ilvl w:val="0"/>
          <w:numId w:val="1"/>
        </w:numPr>
        <w:spacing w:after="0"/>
        <w:jc w:val="both"/>
      </w:pPr>
      <w:r w:rsidRPr="001D0936">
        <w:t>Участь у дискусії та обговоренні питань, які винесені на семінарське заняття.</w:t>
      </w:r>
    </w:p>
    <w:p w14:paraId="450A5BFF" w14:textId="77777777" w:rsidR="003F6D22" w:rsidRPr="001D0936" w:rsidRDefault="003F6D22" w:rsidP="003F6D22">
      <w:pPr>
        <w:pStyle w:val="a4"/>
        <w:numPr>
          <w:ilvl w:val="0"/>
          <w:numId w:val="1"/>
        </w:numPr>
        <w:spacing w:after="0"/>
        <w:jc w:val="both"/>
      </w:pPr>
      <w:r w:rsidRPr="001D0936">
        <w:t>Тестування.</w:t>
      </w:r>
    </w:p>
    <w:p w14:paraId="397826BF" w14:textId="4D1047B0" w:rsidR="003F6D22" w:rsidRPr="001D0936" w:rsidRDefault="00A17592" w:rsidP="003F6D22">
      <w:pPr>
        <w:pStyle w:val="a4"/>
        <w:numPr>
          <w:ilvl w:val="0"/>
          <w:numId w:val="1"/>
        </w:numPr>
        <w:spacing w:after="0"/>
        <w:jc w:val="both"/>
      </w:pPr>
      <w:r>
        <w:t>Підготовка доповідей з дисципліни.</w:t>
      </w:r>
    </w:p>
    <w:p w14:paraId="37958CA7" w14:textId="78920ABC" w:rsidR="003F6D22" w:rsidRPr="001D0936" w:rsidRDefault="00A52F55" w:rsidP="003F6D22">
      <w:pPr>
        <w:pStyle w:val="a4"/>
        <w:numPr>
          <w:ilvl w:val="0"/>
          <w:numId w:val="1"/>
        </w:numPr>
        <w:spacing w:after="0"/>
        <w:jc w:val="both"/>
      </w:pPr>
      <w:r>
        <w:rPr>
          <w:lang w:val="uk-UA"/>
        </w:rPr>
        <w:lastRenderedPageBreak/>
        <w:t>Екзамен</w:t>
      </w:r>
      <w:r w:rsidR="003F6D22" w:rsidRPr="001D0936">
        <w:t>.</w:t>
      </w:r>
    </w:p>
    <w:p w14:paraId="7F41B217" w14:textId="77777777" w:rsidR="003F6D22" w:rsidRDefault="003F6D22" w:rsidP="003F6D22">
      <w:pPr>
        <w:spacing w:after="0"/>
        <w:ind w:firstLine="709"/>
        <w:jc w:val="both"/>
        <w:rPr>
          <w:b/>
          <w:lang w:val="uk-UA"/>
        </w:rPr>
      </w:pPr>
    </w:p>
    <w:p w14:paraId="165A0AE1" w14:textId="77777777" w:rsidR="003F6D22" w:rsidRPr="00D40502" w:rsidRDefault="003F6D22" w:rsidP="003F6D22">
      <w:pPr>
        <w:spacing w:after="0"/>
        <w:jc w:val="both"/>
        <w:rPr>
          <w:b/>
          <w:lang w:val="uk-UA"/>
        </w:rPr>
      </w:pPr>
      <w:r w:rsidRPr="00D40502">
        <w:rPr>
          <w:b/>
          <w:lang w:val="uk-UA"/>
        </w:rPr>
        <w:t>4. Схема накопичення балів по дисципліні, які отримують студенти</w:t>
      </w:r>
    </w:p>
    <w:p w14:paraId="5A74CDD3" w14:textId="42D44634" w:rsidR="003F6D22" w:rsidRDefault="00C818EE" w:rsidP="003F6D22">
      <w:pPr>
        <w:spacing w:after="0"/>
        <w:jc w:val="both"/>
        <w:rPr>
          <w:lang w:val="uk-UA"/>
        </w:rPr>
      </w:pPr>
      <w:r w:rsidRPr="00C818EE">
        <w:t>Оцінювання знань, умінь і навичок студентів здійснюється на основі результатів поточного і підсумкового контролю знань за 100-бальною шкалою. Поточний контроль здійснюється на семінарських та індивідуальних заняттях і оцінюється сумою набраних 50 балів. Максимальна сума балів, набраних на семінарських заняттях становить 25 балів, індивідуальних заняттях - 25 балів, екзамен – 50 балів.</w:t>
      </w:r>
    </w:p>
    <w:p w14:paraId="64961F3E" w14:textId="77777777" w:rsidR="00C818EE" w:rsidRPr="00C818EE" w:rsidRDefault="00C818EE" w:rsidP="003F6D22">
      <w:pPr>
        <w:spacing w:after="0"/>
        <w:jc w:val="both"/>
        <w:rPr>
          <w:lang w:val="uk-UA"/>
        </w:rPr>
      </w:pPr>
      <w:bookmarkStart w:id="0" w:name="_GoBack"/>
      <w:bookmarkEnd w:id="0"/>
    </w:p>
    <w:p w14:paraId="4E08FC6E" w14:textId="77777777" w:rsidR="003F6D22" w:rsidRPr="00B77E44" w:rsidRDefault="003F6D22" w:rsidP="003F6D22">
      <w:pPr>
        <w:spacing w:after="0"/>
        <w:rPr>
          <w:b/>
          <w:lang w:val="uk-UA"/>
        </w:rPr>
      </w:pPr>
      <w:r w:rsidRPr="00B77E44">
        <w:rPr>
          <w:b/>
          <w:lang w:val="uk-UA"/>
        </w:rPr>
        <w:t>5. Хто викладає дисципліну:</w:t>
      </w:r>
    </w:p>
    <w:p w14:paraId="3C4E92D7" w14:textId="72F99307" w:rsidR="003F6D22" w:rsidRPr="00402D82" w:rsidRDefault="00402D82" w:rsidP="003F6D22">
      <w:pPr>
        <w:spacing w:after="0" w:line="240" w:lineRule="auto"/>
        <w:rPr>
          <w:lang w:val="uk-UA"/>
        </w:rPr>
      </w:pPr>
      <w:r>
        <w:rPr>
          <w:bCs/>
          <w:lang w:val="uk-UA"/>
        </w:rPr>
        <w:t>Галич Р.В., кандидат юридичних наук</w:t>
      </w:r>
    </w:p>
    <w:p w14:paraId="2D6420AB" w14:textId="77777777" w:rsidR="001056E9" w:rsidRDefault="001056E9"/>
    <w:sectPr w:rsidR="001056E9" w:rsidSect="005D1414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37B"/>
    <w:multiLevelType w:val="hybridMultilevel"/>
    <w:tmpl w:val="EB163BD4"/>
    <w:lvl w:ilvl="0" w:tplc="459E2224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4559E"/>
    <w:multiLevelType w:val="hybridMultilevel"/>
    <w:tmpl w:val="87206AB0"/>
    <w:lvl w:ilvl="0" w:tplc="FFFFFFFF">
      <w:start w:val="1"/>
      <w:numFmt w:val="bullet"/>
      <w:lvlText w:val="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361"/>
        </w:tabs>
        <w:ind w:left="1361" w:hanging="39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22"/>
    <w:rsid w:val="001056E9"/>
    <w:rsid w:val="003651AB"/>
    <w:rsid w:val="003F6D22"/>
    <w:rsid w:val="00402D82"/>
    <w:rsid w:val="009257F4"/>
    <w:rsid w:val="009A5BF4"/>
    <w:rsid w:val="00A17592"/>
    <w:rsid w:val="00A52F55"/>
    <w:rsid w:val="00AF7EC1"/>
    <w:rsid w:val="00C8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27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2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2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D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D2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D22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7">
    <w:name w:val="Body Text Indent"/>
    <w:basedOn w:val="a"/>
    <w:link w:val="a8"/>
    <w:rsid w:val="003651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3651AB"/>
    <w:rPr>
      <w:rFonts w:ascii="Times New Roman" w:eastAsia="Times New Roman" w:hAnsi="Times New Roman" w:cs="Times New Roman"/>
      <w:lang w:val="uk-UA" w:eastAsia="uk-UA"/>
    </w:rPr>
  </w:style>
  <w:style w:type="paragraph" w:styleId="a9">
    <w:name w:val="Body Text"/>
    <w:basedOn w:val="a"/>
    <w:link w:val="aa"/>
    <w:uiPriority w:val="99"/>
    <w:semiHidden/>
    <w:unhideWhenUsed/>
    <w:rsid w:val="00402D8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02D82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2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2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D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D2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D22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7">
    <w:name w:val="Body Text Indent"/>
    <w:basedOn w:val="a"/>
    <w:link w:val="a8"/>
    <w:rsid w:val="003651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rsid w:val="003651AB"/>
    <w:rPr>
      <w:rFonts w:ascii="Times New Roman" w:eastAsia="Times New Roman" w:hAnsi="Times New Roman" w:cs="Times New Roman"/>
      <w:lang w:val="uk-UA" w:eastAsia="uk-UA"/>
    </w:rPr>
  </w:style>
  <w:style w:type="paragraph" w:styleId="a9">
    <w:name w:val="Body Text"/>
    <w:basedOn w:val="a"/>
    <w:link w:val="aa"/>
    <w:uiPriority w:val="99"/>
    <w:semiHidden/>
    <w:unhideWhenUsed/>
    <w:rsid w:val="00402D8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02D82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Свередюк Катерина Сергіївна</cp:lastModifiedBy>
  <cp:revision>5</cp:revision>
  <dcterms:created xsi:type="dcterms:W3CDTF">2018-04-17T07:13:00Z</dcterms:created>
  <dcterms:modified xsi:type="dcterms:W3CDTF">2018-04-18T06:22:00Z</dcterms:modified>
</cp:coreProperties>
</file>